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FA688" w14:textId="18DAD370" w:rsidR="00B263B7" w:rsidRPr="00754302" w:rsidRDefault="00153DC2">
      <w:pPr>
        <w:rPr>
          <w:rFonts w:ascii="Frutiger 45 Light" w:hAnsi="Frutiger 45 Light"/>
          <w:b/>
          <w:color w:val="E96B00" w:themeColor="accent5"/>
        </w:rPr>
      </w:pPr>
      <w:bookmarkStart w:id="0" w:name="_Hlk41560494"/>
      <w:bookmarkEnd w:id="0"/>
      <w:r w:rsidRPr="00C751A4">
        <w:rPr>
          <w:rFonts w:ascii="Frutiger 57Cn" w:hAnsi="Frutiger 57Cn"/>
          <w:b/>
          <w:color w:val="005373" w:themeColor="accent2"/>
          <w:sz w:val="36"/>
        </w:rPr>
        <w:t>Creating Confident H</w:t>
      </w:r>
      <w:r w:rsidR="00AC6CAA">
        <w:rPr>
          <w:rFonts w:ascii="Frutiger 57Cn" w:hAnsi="Frutiger 57Cn"/>
          <w:b/>
          <w:color w:val="005373" w:themeColor="accent2"/>
          <w:sz w:val="36"/>
        </w:rPr>
        <w:t xml:space="preserve">igh </w:t>
      </w:r>
      <w:r w:rsidRPr="00C751A4">
        <w:rPr>
          <w:rFonts w:ascii="Frutiger 57Cn" w:hAnsi="Frutiger 57Cn"/>
          <w:b/>
          <w:color w:val="005373" w:themeColor="accent2"/>
          <w:sz w:val="36"/>
        </w:rPr>
        <w:t>D</w:t>
      </w:r>
      <w:r w:rsidR="00AC6CAA">
        <w:rPr>
          <w:rFonts w:ascii="Frutiger 57Cn" w:hAnsi="Frutiger 57Cn"/>
          <w:b/>
          <w:color w:val="005373" w:themeColor="accent2"/>
          <w:sz w:val="36"/>
        </w:rPr>
        <w:t xml:space="preserve">eductible </w:t>
      </w:r>
      <w:r w:rsidRPr="00C751A4">
        <w:rPr>
          <w:rFonts w:ascii="Frutiger 57Cn" w:hAnsi="Frutiger 57Cn"/>
          <w:b/>
          <w:color w:val="005373" w:themeColor="accent2"/>
          <w:sz w:val="36"/>
        </w:rPr>
        <w:t>H</w:t>
      </w:r>
      <w:r w:rsidR="00AC6CAA">
        <w:rPr>
          <w:rFonts w:ascii="Frutiger 57Cn" w:hAnsi="Frutiger 57Cn"/>
          <w:b/>
          <w:color w:val="005373" w:themeColor="accent2"/>
          <w:sz w:val="36"/>
        </w:rPr>
        <w:t xml:space="preserve">ealth </w:t>
      </w:r>
      <w:r w:rsidRPr="00C751A4">
        <w:rPr>
          <w:rFonts w:ascii="Frutiger 57Cn" w:hAnsi="Frutiger 57Cn"/>
          <w:b/>
          <w:color w:val="005373" w:themeColor="accent2"/>
          <w:sz w:val="36"/>
        </w:rPr>
        <w:t>P</w:t>
      </w:r>
      <w:r w:rsidR="00AC6CAA">
        <w:rPr>
          <w:rFonts w:ascii="Frutiger 57Cn" w:hAnsi="Frutiger 57Cn"/>
          <w:b/>
          <w:color w:val="005373" w:themeColor="accent2"/>
          <w:sz w:val="36"/>
        </w:rPr>
        <w:t>lan</w:t>
      </w:r>
      <w:r w:rsidRPr="00C751A4">
        <w:rPr>
          <w:rFonts w:ascii="Frutiger 57Cn" w:hAnsi="Frutiger 57Cn"/>
          <w:b/>
          <w:color w:val="005373" w:themeColor="accent2"/>
          <w:sz w:val="36"/>
        </w:rPr>
        <w:t xml:space="preserve"> Members</w:t>
      </w:r>
      <w:r w:rsidR="00754302">
        <w:rPr>
          <w:rFonts w:ascii="Frutiger 57Cn" w:hAnsi="Frutiger 57Cn"/>
          <w:b/>
          <w:color w:val="005373" w:themeColor="accent2"/>
          <w:sz w:val="32"/>
        </w:rPr>
        <w:br/>
      </w:r>
      <w:r w:rsidR="00754302" w:rsidRPr="00754302">
        <w:rPr>
          <w:rFonts w:ascii="Frutiger 45 Light" w:hAnsi="Frutiger 45 Light"/>
          <w:b/>
          <w:color w:val="E96B00" w:themeColor="accent5"/>
        </w:rPr>
        <w:t xml:space="preserve">Mapping Out the HDHP Transition Experience </w:t>
      </w:r>
    </w:p>
    <w:p w14:paraId="55B47FF4" w14:textId="15975902" w:rsidR="00153DC2" w:rsidRPr="00754302" w:rsidRDefault="00486261" w:rsidP="004D737E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Thank you for choosing Excellus BlueCross BlueShield. </w:t>
      </w:r>
      <w:r w:rsidR="00153DC2" w:rsidRPr="00754302">
        <w:rPr>
          <w:rFonts w:ascii="Tahoma" w:hAnsi="Tahoma" w:cs="Tahoma"/>
        </w:rPr>
        <w:t>We know that the transition to an HDHP can be confusing for our members which can create additional questions for you as a H</w:t>
      </w:r>
      <w:r w:rsidR="00AC6CAA">
        <w:rPr>
          <w:rFonts w:ascii="Tahoma" w:hAnsi="Tahoma" w:cs="Tahoma"/>
        </w:rPr>
        <w:t xml:space="preserve">uman </w:t>
      </w:r>
      <w:r w:rsidR="00153DC2" w:rsidRPr="00754302">
        <w:rPr>
          <w:rFonts w:ascii="Tahoma" w:hAnsi="Tahoma" w:cs="Tahoma"/>
        </w:rPr>
        <w:t>R</w:t>
      </w:r>
      <w:r w:rsidR="00AC6CAA">
        <w:rPr>
          <w:rFonts w:ascii="Tahoma" w:hAnsi="Tahoma" w:cs="Tahoma"/>
        </w:rPr>
        <w:t>esources</w:t>
      </w:r>
      <w:r w:rsidR="00153DC2" w:rsidRPr="00754302">
        <w:rPr>
          <w:rFonts w:ascii="Tahoma" w:hAnsi="Tahoma" w:cs="Tahoma"/>
        </w:rPr>
        <w:t xml:space="preserve"> team. We want to make it easier on </w:t>
      </w:r>
      <w:r w:rsidR="001447B4" w:rsidRPr="00754302">
        <w:rPr>
          <w:rFonts w:ascii="Tahoma" w:hAnsi="Tahoma" w:cs="Tahoma"/>
        </w:rPr>
        <w:t>everyone,</w:t>
      </w:r>
      <w:r w:rsidR="00153DC2" w:rsidRPr="00754302">
        <w:rPr>
          <w:rFonts w:ascii="Tahoma" w:hAnsi="Tahoma" w:cs="Tahoma"/>
        </w:rPr>
        <w:t xml:space="preserve"> so </w:t>
      </w:r>
      <w:r w:rsidR="00011DA6">
        <w:rPr>
          <w:rFonts w:ascii="Tahoma" w:hAnsi="Tahoma" w:cs="Tahoma"/>
        </w:rPr>
        <w:t xml:space="preserve">we </w:t>
      </w:r>
      <w:r w:rsidR="001447B4">
        <w:rPr>
          <w:rFonts w:ascii="Tahoma" w:hAnsi="Tahoma" w:cs="Tahoma"/>
        </w:rPr>
        <w:t>created</w:t>
      </w:r>
      <w:r w:rsidR="00153DC2" w:rsidRPr="00754302">
        <w:rPr>
          <w:rFonts w:ascii="Tahoma" w:hAnsi="Tahoma" w:cs="Tahoma"/>
        </w:rPr>
        <w:t xml:space="preserve"> this toolkit to help </w:t>
      </w:r>
      <w:r w:rsidR="00011DA6">
        <w:rPr>
          <w:rFonts w:ascii="Tahoma" w:hAnsi="Tahoma" w:cs="Tahoma"/>
        </w:rPr>
        <w:t>guide</w:t>
      </w:r>
      <w:r w:rsidR="00153DC2" w:rsidRPr="00754302">
        <w:rPr>
          <w:rFonts w:ascii="Tahoma" w:hAnsi="Tahoma" w:cs="Tahoma"/>
        </w:rPr>
        <w:t xml:space="preserve"> the best transition experience possible.</w:t>
      </w:r>
      <w:r w:rsidR="00011DA6">
        <w:rPr>
          <w:rFonts w:ascii="Tahoma" w:hAnsi="Tahoma" w:cs="Tahoma"/>
        </w:rPr>
        <w:t xml:space="preserve"> Current HDHP members helped test and design this content in hopes of providing new HDHP members everything they need to know. </w:t>
      </w:r>
      <w:r w:rsidR="00153DC2" w:rsidRPr="00754302">
        <w:rPr>
          <w:rFonts w:ascii="Tahoma" w:hAnsi="Tahoma" w:cs="Tahoma"/>
        </w:rPr>
        <w:t xml:space="preserve"> </w:t>
      </w:r>
      <w:r w:rsidR="004F17E5">
        <w:rPr>
          <w:rFonts w:ascii="Tahoma" w:hAnsi="Tahoma" w:cs="Tahoma"/>
        </w:rPr>
        <w:t xml:space="preserve"> </w:t>
      </w:r>
    </w:p>
    <w:p w14:paraId="089D9799" w14:textId="1ACD97CA" w:rsidR="008A33C7" w:rsidRDefault="001447B4" w:rsidP="004D737E">
      <w:pPr>
        <w:rPr>
          <w:rFonts w:ascii="Tahoma" w:hAnsi="Tahoma" w:cs="Tahoma"/>
        </w:rPr>
      </w:pPr>
      <w:r>
        <w:rPr>
          <w:rFonts w:ascii="Frutiger 57Cn" w:hAnsi="Frutiger 57Cn"/>
          <w:b/>
          <w:color w:val="007DC5" w:themeColor="background2"/>
          <w:sz w:val="32"/>
        </w:rPr>
        <w:t xml:space="preserve">Education </w:t>
      </w:r>
      <w:r w:rsidR="004E021E">
        <w:rPr>
          <w:rFonts w:ascii="Frutiger 57Cn" w:hAnsi="Frutiger 57Cn"/>
          <w:b/>
          <w:color w:val="007DC5" w:themeColor="background2"/>
          <w:sz w:val="32"/>
        </w:rPr>
        <w:br/>
      </w:r>
      <w:r>
        <w:rPr>
          <w:rFonts w:ascii="Tahoma" w:hAnsi="Tahoma" w:cs="Tahoma"/>
        </w:rPr>
        <w:t xml:space="preserve">Understanding the plan so your employees know what they are signing up for is a critical piece of plan satisfaction. The PowerPoint presentation included in this kit was designed </w:t>
      </w:r>
      <w:r w:rsidR="0047465A">
        <w:rPr>
          <w:rFonts w:ascii="Tahoma" w:hAnsi="Tahoma" w:cs="Tahoma"/>
        </w:rPr>
        <w:t>to give</w:t>
      </w:r>
      <w:r>
        <w:rPr>
          <w:rFonts w:ascii="Tahoma" w:hAnsi="Tahoma" w:cs="Tahoma"/>
        </w:rPr>
        <w:t xml:space="preserve"> you all the content </w:t>
      </w:r>
      <w:r w:rsidR="004F17E5">
        <w:rPr>
          <w:rFonts w:ascii="Tahoma" w:hAnsi="Tahoma" w:cs="Tahoma"/>
        </w:rPr>
        <w:t>you need</w:t>
      </w:r>
      <w:r>
        <w:rPr>
          <w:rFonts w:ascii="Tahoma" w:hAnsi="Tahoma" w:cs="Tahoma"/>
        </w:rPr>
        <w:t xml:space="preserve"> to help your employees understand </w:t>
      </w:r>
      <w:r w:rsidR="004F17E5">
        <w:rPr>
          <w:rFonts w:ascii="Tahoma" w:hAnsi="Tahoma" w:cs="Tahoma"/>
        </w:rPr>
        <w:t>the HDHP before they enroll</w:t>
      </w:r>
      <w:r>
        <w:rPr>
          <w:rFonts w:ascii="Tahoma" w:hAnsi="Tahoma" w:cs="Tahoma"/>
        </w:rPr>
        <w:t xml:space="preserve">. The </w:t>
      </w:r>
      <w:r w:rsidR="004E021E">
        <w:rPr>
          <w:rFonts w:ascii="Tahoma" w:hAnsi="Tahoma" w:cs="Tahoma"/>
        </w:rPr>
        <w:t>p</w:t>
      </w:r>
      <w:r>
        <w:rPr>
          <w:rFonts w:ascii="Tahoma" w:hAnsi="Tahoma" w:cs="Tahoma"/>
        </w:rPr>
        <w:t>resentation is fully customizable for the benefits your company provides. Open it up and review the slides to include only the ones that are applicable for you</w:t>
      </w:r>
      <w:r w:rsidR="004F17E5">
        <w:rPr>
          <w:rFonts w:ascii="Tahoma" w:hAnsi="Tahoma" w:cs="Tahoma"/>
        </w:rPr>
        <w:t xml:space="preserve">. You can customize deductible, out-of-pocket maximum and contribution amounts. It has a talk-track already built into the notes section so if you need to present to </w:t>
      </w:r>
      <w:r w:rsidR="006D1873">
        <w:rPr>
          <w:rFonts w:ascii="Tahoma" w:hAnsi="Tahoma" w:cs="Tahoma"/>
        </w:rPr>
        <w:t>your employees</w:t>
      </w:r>
      <w:r w:rsidR="004F17E5">
        <w:rPr>
          <w:rFonts w:ascii="Tahoma" w:hAnsi="Tahoma" w:cs="Tahoma"/>
        </w:rPr>
        <w:t xml:space="preserve">, the content is already there. </w:t>
      </w:r>
      <w:r w:rsidR="00011DA6">
        <w:rPr>
          <w:rFonts w:ascii="Tahoma" w:hAnsi="Tahoma" w:cs="Tahoma"/>
        </w:rPr>
        <w:t xml:space="preserve">There is also a video link included that you can share with your employees as a quick HDHP overview too. </w:t>
      </w:r>
      <w:r w:rsidR="008A33C7">
        <w:rPr>
          <w:rFonts w:ascii="Tahoma" w:hAnsi="Tahoma" w:cs="Tahoma"/>
        </w:rPr>
        <w:t xml:space="preserve"> </w:t>
      </w:r>
    </w:p>
    <w:p w14:paraId="20CD87E6" w14:textId="66B41015" w:rsidR="008A33C7" w:rsidRPr="005E2699" w:rsidRDefault="00684561" w:rsidP="004D737E">
      <w:pPr>
        <w:rPr>
          <w:rFonts w:ascii="Tahoma" w:hAnsi="Tahoma" w:cs="Tahoma"/>
          <w:color w:val="005373" w:themeColor="accent2"/>
        </w:rPr>
      </w:pPr>
      <w:r w:rsidRPr="00684561">
        <w:rPr>
          <w:rFonts w:ascii="Tahoma" w:hAnsi="Tahoma" w:cs="Tahoma"/>
          <w:color w:val="005373" w:themeColor="accent2"/>
        </w:rPr>
        <w:drawing>
          <wp:anchor distT="0" distB="0" distL="114300" distR="114300" simplePos="0" relativeHeight="251658240" behindDoc="0" locked="0" layoutInCell="1" allowOverlap="1" wp14:anchorId="24D9EE57" wp14:editId="622D5E90">
            <wp:simplePos x="0" y="0"/>
            <wp:positionH relativeFrom="margin">
              <wp:align>left</wp:align>
            </wp:positionH>
            <wp:positionV relativeFrom="paragraph">
              <wp:posOffset>155575</wp:posOffset>
            </wp:positionV>
            <wp:extent cx="1437640" cy="807720"/>
            <wp:effectExtent l="152400" t="152400" r="353060" b="35433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640" cy="8077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E348B1" w14:textId="4B852483" w:rsidR="001447B4" w:rsidRDefault="008A33C7" w:rsidP="004D737E">
      <w:pPr>
        <w:rPr>
          <w:rFonts w:ascii="Tahoma" w:hAnsi="Tahoma" w:cs="Tahoma"/>
          <w:color w:val="005373" w:themeColor="accent2"/>
        </w:rPr>
      </w:pPr>
      <w:r w:rsidRPr="005E2699">
        <w:rPr>
          <w:rFonts w:ascii="Tahoma" w:hAnsi="Tahoma" w:cs="Tahoma"/>
          <w:color w:val="005373" w:themeColor="accent2"/>
        </w:rPr>
        <w:t xml:space="preserve">Look for these slides to know where you </w:t>
      </w:r>
      <w:r w:rsidR="00AF10CA">
        <w:rPr>
          <w:rFonts w:ascii="Tahoma" w:hAnsi="Tahoma" w:cs="Tahoma"/>
          <w:color w:val="005373" w:themeColor="accent2"/>
        </w:rPr>
        <w:t>should</w:t>
      </w:r>
      <w:r w:rsidRPr="005E2699">
        <w:rPr>
          <w:rFonts w:ascii="Tahoma" w:hAnsi="Tahoma" w:cs="Tahoma"/>
          <w:color w:val="005373" w:themeColor="accent2"/>
        </w:rPr>
        <w:t xml:space="preserve"> add/change content. </w:t>
      </w:r>
    </w:p>
    <w:p w14:paraId="190CA80A" w14:textId="77777777" w:rsidR="00AC6CAA" w:rsidRDefault="00AC6CAA" w:rsidP="005E2699">
      <w:pPr>
        <w:rPr>
          <w:rFonts w:ascii="Frutiger 57Cn" w:hAnsi="Frutiger 57Cn"/>
          <w:sz w:val="32"/>
        </w:rPr>
      </w:pPr>
    </w:p>
    <w:p w14:paraId="1DA58C3F" w14:textId="56C878DF" w:rsidR="005E2699" w:rsidRDefault="00DA5F50" w:rsidP="005E2699">
      <w:pPr>
        <w:rPr>
          <w:rFonts w:ascii="Tahoma" w:hAnsi="Tahoma" w:cs="Tahoma"/>
        </w:rPr>
      </w:pPr>
      <w:r>
        <w:rPr>
          <w:rFonts w:ascii="Frutiger 57Cn" w:hAnsi="Frutiger 57Cn"/>
          <w:b/>
          <w:color w:val="007DC5" w:themeColor="background2"/>
          <w:sz w:val="32"/>
        </w:rPr>
        <w:br/>
      </w:r>
      <w:r w:rsidR="005E2699">
        <w:rPr>
          <w:rFonts w:ascii="Frutiger 57Cn" w:hAnsi="Frutiger 57Cn"/>
          <w:b/>
          <w:color w:val="007DC5" w:themeColor="background2"/>
          <w:sz w:val="32"/>
        </w:rPr>
        <w:t xml:space="preserve">Ongoing Support and Communication </w:t>
      </w:r>
      <w:r w:rsidR="005E2699">
        <w:rPr>
          <w:rFonts w:ascii="Frutiger 57Cn" w:hAnsi="Frutiger 57Cn"/>
          <w:b/>
          <w:color w:val="007DC5" w:themeColor="background2"/>
          <w:sz w:val="32"/>
        </w:rPr>
        <w:br/>
      </w:r>
      <w:r w:rsidR="00B57663">
        <w:rPr>
          <w:rFonts w:ascii="Tahoma" w:hAnsi="Tahoma" w:cs="Tahoma"/>
        </w:rPr>
        <w:t>Employees</w:t>
      </w:r>
      <w:r w:rsidR="005E2699">
        <w:rPr>
          <w:rFonts w:ascii="Tahoma" w:hAnsi="Tahoma" w:cs="Tahoma"/>
        </w:rPr>
        <w:t xml:space="preserve"> might understand their plan when they enroll, then forget by the time the plan year begins</w:t>
      </w:r>
      <w:r w:rsidR="00E71050">
        <w:rPr>
          <w:rFonts w:ascii="Tahoma" w:hAnsi="Tahoma" w:cs="Tahoma"/>
        </w:rPr>
        <w:t>,</w:t>
      </w:r>
      <w:r w:rsidR="005E2699">
        <w:rPr>
          <w:rFonts w:ascii="Tahoma" w:hAnsi="Tahoma" w:cs="Tahoma"/>
        </w:rPr>
        <w:t xml:space="preserve"> so we prepared some ready-to-send emails to help keep the communication </w:t>
      </w:r>
      <w:r w:rsidR="004E021E">
        <w:rPr>
          <w:rFonts w:ascii="Tahoma" w:hAnsi="Tahoma" w:cs="Tahoma"/>
        </w:rPr>
        <w:t>ongoing</w:t>
      </w:r>
      <w:r w:rsidR="00E71050">
        <w:rPr>
          <w:rFonts w:ascii="Tahoma" w:hAnsi="Tahoma" w:cs="Tahoma"/>
        </w:rPr>
        <w:t>.</w:t>
      </w:r>
      <w:r w:rsidR="004E021E">
        <w:rPr>
          <w:rFonts w:ascii="Tahoma" w:hAnsi="Tahoma" w:cs="Tahoma"/>
        </w:rPr>
        <w:t xml:space="preserve"> </w:t>
      </w:r>
      <w:r w:rsidR="00E71050">
        <w:rPr>
          <w:rFonts w:ascii="Tahoma" w:hAnsi="Tahoma" w:cs="Tahoma"/>
        </w:rPr>
        <w:t>The emails provide your employees with</w:t>
      </w:r>
      <w:r w:rsidR="004E021E">
        <w:rPr>
          <w:rFonts w:ascii="Tahoma" w:hAnsi="Tahoma" w:cs="Tahoma"/>
        </w:rPr>
        <w:t xml:space="preserve"> tips </w:t>
      </w:r>
      <w:r w:rsidR="00E71050">
        <w:rPr>
          <w:rFonts w:ascii="Tahoma" w:hAnsi="Tahoma" w:cs="Tahoma"/>
        </w:rPr>
        <w:t xml:space="preserve">and </w:t>
      </w:r>
      <w:r w:rsidR="004E021E">
        <w:rPr>
          <w:rFonts w:ascii="Tahoma" w:hAnsi="Tahoma" w:cs="Tahoma"/>
        </w:rPr>
        <w:t xml:space="preserve">tricks </w:t>
      </w:r>
      <w:r w:rsidR="00E71050">
        <w:rPr>
          <w:rFonts w:ascii="Tahoma" w:hAnsi="Tahoma" w:cs="Tahoma"/>
        </w:rPr>
        <w:t xml:space="preserve">they can implement </w:t>
      </w:r>
      <w:r w:rsidR="004E021E">
        <w:rPr>
          <w:rFonts w:ascii="Tahoma" w:hAnsi="Tahoma" w:cs="Tahoma"/>
        </w:rPr>
        <w:t>as they start to use the plan</w:t>
      </w:r>
      <w:r w:rsidR="005E2699">
        <w:rPr>
          <w:rFonts w:ascii="Tahoma" w:hAnsi="Tahoma" w:cs="Tahoma"/>
        </w:rPr>
        <w:t xml:space="preserve">. </w:t>
      </w:r>
      <w:r w:rsidR="004E021E">
        <w:rPr>
          <w:rFonts w:ascii="Tahoma" w:hAnsi="Tahoma" w:cs="Tahoma"/>
        </w:rPr>
        <w:t>We recommend sending the “Getting St</w:t>
      </w:r>
      <w:r w:rsidR="004E021E" w:rsidRPr="006F0001">
        <w:rPr>
          <w:rFonts w:ascii="Tahoma" w:hAnsi="Tahoma" w:cs="Tahoma"/>
        </w:rPr>
        <w:t>a</w:t>
      </w:r>
      <w:r w:rsidR="00C8729A" w:rsidRPr="006F0001">
        <w:rPr>
          <w:rFonts w:ascii="Tahoma" w:hAnsi="Tahoma" w:cs="Tahoma"/>
        </w:rPr>
        <w:t>r</w:t>
      </w:r>
      <w:r w:rsidR="004E021E" w:rsidRPr="006F0001">
        <w:rPr>
          <w:rFonts w:ascii="Tahoma" w:hAnsi="Tahoma" w:cs="Tahoma"/>
        </w:rPr>
        <w:t>t</w:t>
      </w:r>
      <w:r w:rsidR="004E021E">
        <w:rPr>
          <w:rFonts w:ascii="Tahoma" w:hAnsi="Tahoma" w:cs="Tahoma"/>
        </w:rPr>
        <w:t>ed with your High Deductible Health Plan (HDHP)” email the week your plan year begins</w:t>
      </w:r>
      <w:r w:rsidR="00E71050">
        <w:rPr>
          <w:rFonts w:ascii="Tahoma" w:hAnsi="Tahoma" w:cs="Tahoma"/>
        </w:rPr>
        <w:t>,</w:t>
      </w:r>
      <w:r w:rsidR="004E021E">
        <w:rPr>
          <w:rFonts w:ascii="Tahoma" w:hAnsi="Tahoma" w:cs="Tahoma"/>
        </w:rPr>
        <w:t xml:space="preserve"> then sending the next one </w:t>
      </w:r>
      <w:r w:rsidR="00E71050">
        <w:rPr>
          <w:rFonts w:ascii="Tahoma" w:hAnsi="Tahoma" w:cs="Tahoma"/>
        </w:rPr>
        <w:t xml:space="preserve">two </w:t>
      </w:r>
      <w:r w:rsidR="004E021E">
        <w:rPr>
          <w:rFonts w:ascii="Tahoma" w:hAnsi="Tahoma" w:cs="Tahoma"/>
        </w:rPr>
        <w:t xml:space="preserve">weeks after, continuing until all emails </w:t>
      </w:r>
      <w:r w:rsidR="00E71050">
        <w:rPr>
          <w:rFonts w:ascii="Tahoma" w:hAnsi="Tahoma" w:cs="Tahoma"/>
        </w:rPr>
        <w:t xml:space="preserve">are </w:t>
      </w:r>
      <w:r w:rsidR="004E021E">
        <w:rPr>
          <w:rFonts w:ascii="Tahoma" w:hAnsi="Tahoma" w:cs="Tahoma"/>
        </w:rPr>
        <w:t xml:space="preserve">sent to employees. </w:t>
      </w:r>
    </w:p>
    <w:p w14:paraId="73021E1B" w14:textId="77777777" w:rsidR="004E021E" w:rsidRPr="004E021E" w:rsidRDefault="004E021E" w:rsidP="004E021E">
      <w:pPr>
        <w:rPr>
          <w:rFonts w:ascii="Frutiger 57Cn" w:hAnsi="Frutiger 57Cn"/>
          <w:sz w:val="40"/>
        </w:rPr>
      </w:pPr>
      <w:r w:rsidRPr="004E021E">
        <w:rPr>
          <w:sz w:val="28"/>
        </w:rPr>
        <w:sym w:font="Wingdings" w:char="F06F"/>
      </w:r>
      <w:r>
        <w:rPr>
          <w:sz w:val="28"/>
        </w:rPr>
        <w:t xml:space="preserve"> </w:t>
      </w:r>
      <w:r>
        <w:rPr>
          <w:rFonts w:ascii="Tahoma" w:hAnsi="Tahoma" w:cs="Tahoma"/>
        </w:rPr>
        <w:t xml:space="preserve">Getting Started with your High Deductible Health Plan (HDHP) </w:t>
      </w:r>
      <w:r>
        <w:rPr>
          <w:rFonts w:ascii="Tahoma" w:hAnsi="Tahoma" w:cs="Tahoma"/>
        </w:rPr>
        <w:br/>
      </w:r>
      <w:r w:rsidRPr="004E021E">
        <w:rPr>
          <w:sz w:val="28"/>
        </w:rPr>
        <w:sym w:font="Wingdings" w:char="F06F"/>
      </w:r>
      <w:r>
        <w:rPr>
          <w:sz w:val="28"/>
        </w:rPr>
        <w:t xml:space="preserve"> </w:t>
      </w:r>
      <w:r>
        <w:rPr>
          <w:rFonts w:ascii="Tahoma" w:hAnsi="Tahoma" w:cs="Tahoma"/>
        </w:rPr>
        <w:t>Budget and Manage Expenses</w:t>
      </w:r>
      <w:r>
        <w:rPr>
          <w:rFonts w:ascii="Tahoma" w:hAnsi="Tahoma" w:cs="Tahoma"/>
        </w:rPr>
        <w:br/>
      </w:r>
      <w:r w:rsidRPr="004E021E">
        <w:rPr>
          <w:sz w:val="28"/>
        </w:rPr>
        <w:sym w:font="Wingdings" w:char="F06F"/>
      </w:r>
      <w:r>
        <w:rPr>
          <w:sz w:val="28"/>
        </w:rPr>
        <w:t xml:space="preserve"> </w:t>
      </w:r>
      <w:r>
        <w:rPr>
          <w:rFonts w:ascii="Tahoma" w:hAnsi="Tahoma" w:cs="Tahoma"/>
        </w:rPr>
        <w:t xml:space="preserve">Find a Doctor / Estimate Medical Costs </w:t>
      </w:r>
      <w:r>
        <w:rPr>
          <w:rFonts w:ascii="Tahoma" w:hAnsi="Tahoma" w:cs="Tahoma"/>
        </w:rPr>
        <w:br/>
      </w:r>
      <w:r w:rsidRPr="004E021E">
        <w:rPr>
          <w:sz w:val="28"/>
        </w:rPr>
        <w:sym w:font="Wingdings" w:char="F06F"/>
      </w:r>
      <w:r>
        <w:rPr>
          <w:sz w:val="28"/>
        </w:rPr>
        <w:t xml:space="preserve"> </w:t>
      </w:r>
      <w:r>
        <w:rPr>
          <w:rFonts w:ascii="Tahoma" w:hAnsi="Tahoma" w:cs="Tahoma"/>
        </w:rPr>
        <w:t xml:space="preserve">Your Health Savings Account Contribution </w:t>
      </w:r>
      <w:r>
        <w:rPr>
          <w:rFonts w:ascii="Tahoma" w:hAnsi="Tahoma" w:cs="Tahoma"/>
        </w:rPr>
        <w:br/>
      </w:r>
      <w:r w:rsidRPr="004E021E">
        <w:rPr>
          <w:sz w:val="28"/>
        </w:rPr>
        <w:lastRenderedPageBreak/>
        <w:sym w:font="Wingdings" w:char="F06F"/>
      </w:r>
      <w:r>
        <w:rPr>
          <w:sz w:val="28"/>
        </w:rPr>
        <w:t xml:space="preserve"> </w:t>
      </w:r>
      <w:r>
        <w:rPr>
          <w:rFonts w:ascii="Tahoma" w:hAnsi="Tahoma" w:cs="Tahoma"/>
        </w:rPr>
        <w:t xml:space="preserve">High Deductible Health Plan Tools You Can Use </w:t>
      </w:r>
      <w:r>
        <w:rPr>
          <w:rFonts w:ascii="Tahoma" w:hAnsi="Tahoma" w:cs="Tahoma"/>
        </w:rPr>
        <w:br/>
      </w:r>
      <w:r w:rsidRPr="004E021E">
        <w:rPr>
          <w:sz w:val="28"/>
        </w:rPr>
        <w:sym w:font="Wingdings" w:char="F06F"/>
      </w:r>
      <w:r>
        <w:rPr>
          <w:sz w:val="28"/>
        </w:rPr>
        <w:t xml:space="preserve"> </w:t>
      </w:r>
      <w:r>
        <w:rPr>
          <w:rFonts w:ascii="Tahoma" w:hAnsi="Tahoma" w:cs="Tahoma"/>
        </w:rPr>
        <w:t xml:space="preserve">Ways to Save </w:t>
      </w:r>
    </w:p>
    <w:p w14:paraId="3349F99E" w14:textId="2D0BB1BB" w:rsidR="004E021E" w:rsidRDefault="004E021E" w:rsidP="004E021E">
      <w:pPr>
        <w:rPr>
          <w:rFonts w:ascii="Tahoma" w:hAnsi="Tahoma" w:cs="Tahoma"/>
        </w:rPr>
      </w:pPr>
      <w:r>
        <w:rPr>
          <w:rFonts w:ascii="Frutiger 57Cn" w:hAnsi="Frutiger 57Cn"/>
          <w:b/>
          <w:color w:val="007DC5" w:themeColor="background2"/>
          <w:sz w:val="32"/>
        </w:rPr>
        <w:t xml:space="preserve">Employee Materials </w:t>
      </w:r>
      <w:r>
        <w:rPr>
          <w:rFonts w:ascii="Frutiger 57Cn" w:hAnsi="Frutiger 57Cn"/>
          <w:b/>
          <w:color w:val="007DC5" w:themeColor="background2"/>
          <w:sz w:val="32"/>
        </w:rPr>
        <w:br/>
      </w:r>
      <w:r>
        <w:rPr>
          <w:rFonts w:ascii="Tahoma" w:hAnsi="Tahoma" w:cs="Tahoma"/>
        </w:rPr>
        <w:t>We know that you don’t just enroll people in the HDHP once a year</w:t>
      </w:r>
      <w:r w:rsidR="00E71050">
        <w:rPr>
          <w:rFonts w:ascii="Tahoma" w:hAnsi="Tahoma" w:cs="Tahoma"/>
        </w:rPr>
        <w:t xml:space="preserve">; </w:t>
      </w:r>
      <w:r>
        <w:rPr>
          <w:rFonts w:ascii="Tahoma" w:hAnsi="Tahoma" w:cs="Tahoma"/>
        </w:rPr>
        <w:t xml:space="preserve">it’s ongoing as your staffing needs change. We packaged together all our best HDHP collateral pieces so you can use them with your employees as needed. </w:t>
      </w:r>
      <w:r w:rsidR="00C751A4">
        <w:rPr>
          <w:rFonts w:ascii="Tahoma" w:hAnsi="Tahoma" w:cs="Tahoma"/>
        </w:rPr>
        <w:t>These files are ready to be shared electronically or printed as needed. Your Account Manager can order some to be printed and sent directly to your office</w:t>
      </w:r>
      <w:r w:rsidR="00E71050">
        <w:rPr>
          <w:rFonts w:ascii="Tahoma" w:hAnsi="Tahoma" w:cs="Tahoma"/>
        </w:rPr>
        <w:t>,</w:t>
      </w:r>
      <w:r w:rsidR="00C751A4">
        <w:rPr>
          <w:rFonts w:ascii="Tahoma" w:hAnsi="Tahoma" w:cs="Tahoma"/>
        </w:rPr>
        <w:t xml:space="preserve"> too. </w:t>
      </w:r>
    </w:p>
    <w:p w14:paraId="37F9F1C0" w14:textId="77777777" w:rsidR="006D1873" w:rsidRPr="006D1873" w:rsidRDefault="006D1873" w:rsidP="004E021E">
      <w:pPr>
        <w:rPr>
          <w:rFonts w:ascii="Tahoma" w:hAnsi="Tahoma" w:cs="Tahoma"/>
        </w:rPr>
      </w:pPr>
      <w:r w:rsidRPr="004E021E">
        <w:rPr>
          <w:sz w:val="28"/>
        </w:rPr>
        <w:sym w:font="Wingdings" w:char="F06F"/>
      </w:r>
      <w:r>
        <w:rPr>
          <w:sz w:val="28"/>
        </w:rPr>
        <w:t xml:space="preserve"> </w:t>
      </w:r>
      <w:r>
        <w:rPr>
          <w:rFonts w:ascii="Tahoma" w:hAnsi="Tahoma" w:cs="Tahoma"/>
        </w:rPr>
        <w:t>Getting Started with your High Deductible Health Plan (HDHP) - Brochure</w:t>
      </w:r>
      <w:r>
        <w:rPr>
          <w:rFonts w:ascii="Tahoma" w:hAnsi="Tahoma" w:cs="Tahoma"/>
        </w:rPr>
        <w:br/>
      </w:r>
      <w:r w:rsidRPr="004E021E">
        <w:rPr>
          <w:sz w:val="28"/>
        </w:rPr>
        <w:sym w:font="Wingdings" w:char="F06F"/>
      </w:r>
      <w:r>
        <w:rPr>
          <w:sz w:val="28"/>
        </w:rPr>
        <w:t xml:space="preserve"> </w:t>
      </w:r>
      <w:r>
        <w:rPr>
          <w:rFonts w:ascii="Tahoma" w:hAnsi="Tahoma" w:cs="Tahoma"/>
        </w:rPr>
        <w:t xml:space="preserve">Free Even </w:t>
      </w:r>
      <w:r w:rsidR="00011DA6">
        <w:rPr>
          <w:rFonts w:ascii="Tahoma" w:hAnsi="Tahoma" w:cs="Tahoma"/>
        </w:rPr>
        <w:t>with</w:t>
      </w:r>
      <w:r>
        <w:rPr>
          <w:rFonts w:ascii="Tahoma" w:hAnsi="Tahoma" w:cs="Tahoma"/>
        </w:rPr>
        <w:t xml:space="preserve"> Your HDHP - Flyer</w:t>
      </w:r>
      <w:r>
        <w:rPr>
          <w:rFonts w:ascii="Tahoma" w:hAnsi="Tahoma" w:cs="Tahoma"/>
        </w:rPr>
        <w:br/>
      </w:r>
      <w:r w:rsidRPr="004E021E">
        <w:rPr>
          <w:sz w:val="28"/>
        </w:rPr>
        <w:sym w:font="Wingdings" w:char="F06F"/>
      </w:r>
      <w:r>
        <w:rPr>
          <w:sz w:val="28"/>
        </w:rPr>
        <w:t xml:space="preserve"> </w:t>
      </w:r>
      <w:r>
        <w:rPr>
          <w:rFonts w:ascii="Tahoma" w:hAnsi="Tahoma" w:cs="Tahoma"/>
        </w:rPr>
        <w:t>Make Preventive Care a Priority – Checklist Handouts (Men, Women, Children)</w:t>
      </w:r>
      <w:r>
        <w:rPr>
          <w:rFonts w:ascii="Tahoma" w:hAnsi="Tahoma" w:cs="Tahoma"/>
        </w:rPr>
        <w:br/>
      </w:r>
      <w:r w:rsidRPr="004E021E">
        <w:rPr>
          <w:sz w:val="28"/>
        </w:rPr>
        <w:sym w:font="Wingdings" w:char="F06F"/>
      </w:r>
      <w:r>
        <w:rPr>
          <w:sz w:val="28"/>
        </w:rPr>
        <w:t xml:space="preserve"> </w:t>
      </w:r>
      <w:r>
        <w:rPr>
          <w:rFonts w:ascii="Tahoma" w:hAnsi="Tahoma" w:cs="Tahoma"/>
        </w:rPr>
        <w:t xml:space="preserve">Tips to Get the Most Out of Your Plan </w:t>
      </w:r>
    </w:p>
    <w:p w14:paraId="0ABC13F1" w14:textId="77777777" w:rsidR="00011DA6" w:rsidRDefault="00011DA6" w:rsidP="00011DA6">
      <w:pPr>
        <w:rPr>
          <w:rFonts w:ascii="Tahoma" w:hAnsi="Tahoma" w:cs="Tahoma"/>
        </w:rPr>
      </w:pPr>
      <w:r>
        <w:rPr>
          <w:rFonts w:ascii="Frutiger 57Cn" w:hAnsi="Frutiger 57Cn"/>
          <w:b/>
          <w:color w:val="007DC5" w:themeColor="background2"/>
          <w:sz w:val="32"/>
        </w:rPr>
        <w:t xml:space="preserve">Additional Opportunities  </w:t>
      </w:r>
      <w:r>
        <w:rPr>
          <w:rFonts w:ascii="Frutiger 57Cn" w:hAnsi="Frutiger 57Cn"/>
          <w:b/>
          <w:color w:val="007DC5" w:themeColor="background2"/>
          <w:sz w:val="32"/>
        </w:rPr>
        <w:br/>
      </w:r>
      <w:r>
        <w:rPr>
          <w:rFonts w:ascii="Tahoma" w:hAnsi="Tahoma" w:cs="Tahoma"/>
        </w:rPr>
        <w:t xml:space="preserve">Other ways you can encourage employees and help set them up for a successful first year on the HDHP is to: </w:t>
      </w:r>
    </w:p>
    <w:p w14:paraId="6C55B913" w14:textId="77777777" w:rsidR="00126D75" w:rsidRDefault="00011DA6" w:rsidP="00011DA6">
      <w:pPr>
        <w:rPr>
          <w:rFonts w:ascii="Tahoma" w:hAnsi="Tahoma" w:cs="Tahoma"/>
        </w:rPr>
      </w:pPr>
      <w:r w:rsidRPr="004E021E">
        <w:rPr>
          <w:sz w:val="28"/>
        </w:rPr>
        <w:sym w:font="Wingdings" w:char="F06F"/>
      </w:r>
      <w:r>
        <w:rPr>
          <w:sz w:val="28"/>
        </w:rPr>
        <w:t xml:space="preserve"> </w:t>
      </w:r>
      <w:r>
        <w:rPr>
          <w:rFonts w:ascii="Tahoma" w:hAnsi="Tahoma" w:cs="Tahoma"/>
        </w:rPr>
        <w:t>Encourage them to set up and contribute to a Health Savings Account</w:t>
      </w:r>
      <w:r w:rsidR="00126D75">
        <w:rPr>
          <w:rFonts w:ascii="Tahoma" w:hAnsi="Tahoma" w:cs="Tahoma"/>
        </w:rPr>
        <w:t>. If it’s possible, having an employer contribut</w:t>
      </w:r>
      <w:r w:rsidR="005F4611">
        <w:rPr>
          <w:rFonts w:ascii="Tahoma" w:hAnsi="Tahoma" w:cs="Tahoma"/>
        </w:rPr>
        <w:t>ion</w:t>
      </w:r>
      <w:r w:rsidR="00126D75">
        <w:rPr>
          <w:rFonts w:ascii="Tahoma" w:hAnsi="Tahoma" w:cs="Tahoma"/>
        </w:rPr>
        <w:t xml:space="preserve"> to the HSA, even just the first year, helps drive plan satisfaction. 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 w:rsidRPr="004E021E">
        <w:rPr>
          <w:sz w:val="28"/>
        </w:rPr>
        <w:sym w:font="Wingdings" w:char="F06F"/>
      </w:r>
      <w:r>
        <w:rPr>
          <w:sz w:val="28"/>
        </w:rPr>
        <w:t xml:space="preserve"> </w:t>
      </w:r>
      <w:r>
        <w:rPr>
          <w:rFonts w:ascii="Tahoma" w:hAnsi="Tahoma" w:cs="Tahoma"/>
        </w:rPr>
        <w:t xml:space="preserve">Direct them to their </w:t>
      </w:r>
      <w:r w:rsidR="00126D75">
        <w:rPr>
          <w:rFonts w:ascii="Tahoma" w:hAnsi="Tahoma" w:cs="Tahoma"/>
        </w:rPr>
        <w:t xml:space="preserve">ExcellusBCBS.com Member Account </w:t>
      </w:r>
      <w:r w:rsidR="006560BA">
        <w:rPr>
          <w:rFonts w:ascii="Tahoma" w:hAnsi="Tahoma" w:cs="Tahoma"/>
        </w:rPr>
        <w:t xml:space="preserve">or the Excellus BCBS Mobile App </w:t>
      </w:r>
      <w:r w:rsidR="00126D75">
        <w:rPr>
          <w:rFonts w:ascii="Tahoma" w:hAnsi="Tahoma" w:cs="Tahoma"/>
        </w:rPr>
        <w:t xml:space="preserve">to track their spending. </w:t>
      </w:r>
      <w:r w:rsidR="00C36788">
        <w:rPr>
          <w:rFonts w:ascii="Tahoma" w:hAnsi="Tahoma" w:cs="Tahoma"/>
        </w:rPr>
        <w:t xml:space="preserve">All employees need to sign up for an account is an </w:t>
      </w:r>
      <w:r w:rsidR="00C36788" w:rsidRPr="00896727">
        <w:rPr>
          <w:rFonts w:ascii="Tahoma" w:hAnsi="Tahoma" w:cs="Tahoma"/>
        </w:rPr>
        <w:t xml:space="preserve">email address and </w:t>
      </w:r>
      <w:r w:rsidR="006560BA">
        <w:rPr>
          <w:rFonts w:ascii="Tahoma" w:hAnsi="Tahoma" w:cs="Tahoma"/>
        </w:rPr>
        <w:t xml:space="preserve">their </w:t>
      </w:r>
      <w:r w:rsidR="00C36788" w:rsidRPr="00896727">
        <w:rPr>
          <w:rFonts w:ascii="Tahoma" w:hAnsi="Tahoma" w:cs="Tahoma"/>
        </w:rPr>
        <w:t>member ID card</w:t>
      </w:r>
      <w:r w:rsidR="00C36788">
        <w:rPr>
          <w:rFonts w:ascii="Tahoma" w:hAnsi="Tahoma" w:cs="Tahoma"/>
        </w:rPr>
        <w:t>. T</w:t>
      </w:r>
      <w:r w:rsidR="006560BA">
        <w:rPr>
          <w:rFonts w:ascii="Tahoma" w:hAnsi="Tahoma" w:cs="Tahoma"/>
        </w:rPr>
        <w:t>he</w:t>
      </w:r>
      <w:r w:rsidR="00C36788">
        <w:rPr>
          <w:rFonts w:ascii="Tahoma" w:hAnsi="Tahoma" w:cs="Tahoma"/>
        </w:rPr>
        <w:t xml:space="preserve"> </w:t>
      </w:r>
      <w:hyperlink r:id="rId8" w:history="1">
        <w:r w:rsidR="00C36788" w:rsidRPr="0018792E">
          <w:rPr>
            <w:rStyle w:val="Hyperlink"/>
            <w:rFonts w:ascii="Tahoma" w:hAnsi="Tahoma" w:cs="Tahoma"/>
          </w:rPr>
          <w:t>Quick Start Guide</w:t>
        </w:r>
      </w:hyperlink>
      <w:r w:rsidR="00C36788">
        <w:rPr>
          <w:rFonts w:ascii="Tahoma" w:hAnsi="Tahoma" w:cs="Tahoma"/>
        </w:rPr>
        <w:t xml:space="preserve"> and</w:t>
      </w:r>
      <w:r w:rsidR="00C36788" w:rsidRPr="00896727">
        <w:rPr>
          <w:rFonts w:ascii="Tahoma" w:hAnsi="Tahoma" w:cs="Tahoma"/>
        </w:rPr>
        <w:t xml:space="preserve"> </w:t>
      </w:r>
      <w:hyperlink r:id="rId9" w:history="1">
        <w:r w:rsidR="00C36788" w:rsidRPr="009B6502">
          <w:rPr>
            <w:rStyle w:val="Hyperlink"/>
            <w:rFonts w:ascii="Tahoma" w:hAnsi="Tahoma" w:cs="Tahoma"/>
          </w:rPr>
          <w:t>How-to Video</w:t>
        </w:r>
      </w:hyperlink>
      <w:r w:rsidR="00C36788">
        <w:rPr>
          <w:rFonts w:ascii="Tahoma" w:hAnsi="Tahoma" w:cs="Tahoma"/>
        </w:rPr>
        <w:t xml:space="preserve"> are helpful</w:t>
      </w:r>
      <w:r w:rsidR="006560BA">
        <w:rPr>
          <w:rFonts w:ascii="Tahoma" w:hAnsi="Tahoma" w:cs="Tahoma"/>
        </w:rPr>
        <w:t xml:space="preserve"> resources to help get them started. </w:t>
      </w:r>
    </w:p>
    <w:p w14:paraId="2FA9F468" w14:textId="77777777" w:rsidR="00011DA6" w:rsidRDefault="00011DA6" w:rsidP="00011DA6">
      <w:pPr>
        <w:rPr>
          <w:rFonts w:ascii="Tahoma" w:hAnsi="Tahoma" w:cs="Tahoma"/>
        </w:rPr>
      </w:pPr>
    </w:p>
    <w:p w14:paraId="2611FFD7" w14:textId="77777777" w:rsidR="00011DA6" w:rsidRPr="006D1873" w:rsidRDefault="00011DA6" w:rsidP="00011DA6">
      <w:pPr>
        <w:rPr>
          <w:rFonts w:ascii="Tahoma" w:hAnsi="Tahoma" w:cs="Tahoma"/>
        </w:rPr>
      </w:pPr>
    </w:p>
    <w:p w14:paraId="1B90AE94" w14:textId="26037D51" w:rsidR="006D1873" w:rsidRDefault="006D1873" w:rsidP="004E021E">
      <w:pPr>
        <w:rPr>
          <w:rFonts w:ascii="Tahoma" w:hAnsi="Tahoma" w:cs="Tahoma"/>
        </w:rPr>
      </w:pPr>
    </w:p>
    <w:p w14:paraId="6EEB5CD2" w14:textId="77777777" w:rsidR="00F341BE" w:rsidRPr="00C751A4" w:rsidRDefault="00F341BE" w:rsidP="004E021E">
      <w:pPr>
        <w:rPr>
          <w:rFonts w:ascii="Tahoma" w:hAnsi="Tahoma" w:cs="Tahoma"/>
        </w:rPr>
      </w:pPr>
    </w:p>
    <w:sectPr w:rsidR="00F341BE" w:rsidRPr="00C751A4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808AC" w14:textId="77777777" w:rsidR="00946509" w:rsidRDefault="00946509" w:rsidP="00754302">
      <w:pPr>
        <w:spacing w:after="0" w:line="240" w:lineRule="auto"/>
      </w:pPr>
      <w:r>
        <w:separator/>
      </w:r>
    </w:p>
  </w:endnote>
  <w:endnote w:type="continuationSeparator" w:id="0">
    <w:p w14:paraId="6A7B16A0" w14:textId="77777777" w:rsidR="00946509" w:rsidRDefault="00946509" w:rsidP="00754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 LT Pro 57 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45 Light">
    <w:altName w:val="Calibri"/>
    <w:charset w:val="00"/>
    <w:family w:val="swiss"/>
    <w:pitch w:val="variable"/>
    <w:sig w:usb0="00000003" w:usb1="00000000" w:usb2="00000000" w:usb3="00000000" w:csb0="00000001" w:csb1="00000000"/>
  </w:font>
  <w:font w:name="Frutiger 57Cn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LTStd">
    <w:altName w:val="Calibri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77778" w14:textId="77777777" w:rsidR="00F341BE" w:rsidRDefault="00F341BE" w:rsidP="00F341BE">
    <w:pPr>
      <w:pStyle w:val="Default"/>
    </w:pPr>
  </w:p>
  <w:p w14:paraId="0A0BD6F7" w14:textId="34C3D05D" w:rsidR="00F341BE" w:rsidRPr="00F341BE" w:rsidRDefault="00F341BE" w:rsidP="00F341BE">
    <w:pPr>
      <w:autoSpaceDE w:val="0"/>
      <w:autoSpaceDN w:val="0"/>
      <w:adjustRightInd w:val="0"/>
      <w:spacing w:after="0" w:line="240" w:lineRule="auto"/>
      <w:rPr>
        <w:rFonts w:ascii="UniversLTStd" w:hAnsi="UniversLTStd" w:cs="UniversLTStd"/>
        <w:sz w:val="18"/>
        <w:szCs w:val="18"/>
      </w:rPr>
    </w:pPr>
    <w:r w:rsidRPr="00F341BE">
      <w:rPr>
        <w:rFonts w:ascii="UniversLTStd" w:hAnsi="UniversLTStd" w:cs="UniversLTStd"/>
        <w:sz w:val="18"/>
        <w:szCs w:val="18"/>
      </w:rPr>
      <w:t>Excellus BlueCross BlueShield, a nonprofit independent licensee of the</w:t>
    </w:r>
    <w:r w:rsidR="00327943">
      <w:rPr>
        <w:rFonts w:ascii="UniversLTStd" w:hAnsi="UniversLTStd" w:cs="UniversLTStd"/>
        <w:sz w:val="18"/>
        <w:szCs w:val="18"/>
      </w:rPr>
      <w:t xml:space="preserve"> </w:t>
    </w:r>
    <w:r w:rsidRPr="00F341BE">
      <w:rPr>
        <w:rFonts w:ascii="UniversLTStd" w:hAnsi="UniversLTStd" w:cs="UniversLTStd"/>
        <w:sz w:val="18"/>
        <w:szCs w:val="18"/>
      </w:rPr>
      <w:t xml:space="preserve">Blue Cross Blue Shield Association. </w:t>
    </w:r>
    <w:r w:rsidR="00327943">
      <w:rPr>
        <w:rFonts w:ascii="UniversLTStd" w:hAnsi="UniversLTStd" w:cs="UniversLTStd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4F04C" w14:textId="77777777" w:rsidR="00946509" w:rsidRDefault="00946509" w:rsidP="00754302">
      <w:pPr>
        <w:spacing w:after="0" w:line="240" w:lineRule="auto"/>
      </w:pPr>
      <w:r>
        <w:separator/>
      </w:r>
    </w:p>
  </w:footnote>
  <w:footnote w:type="continuationSeparator" w:id="0">
    <w:p w14:paraId="58748549" w14:textId="77777777" w:rsidR="00946509" w:rsidRDefault="00946509" w:rsidP="00754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2C318" w14:textId="77777777" w:rsidR="00E5778B" w:rsidRDefault="00E5778B">
    <w:pPr>
      <w:pStyle w:val="Header"/>
    </w:pPr>
    <w:r>
      <w:rPr>
        <w:rFonts w:ascii="Open Sans" w:hAnsi="Open Sans" w:cs="Arial"/>
        <w:noProof/>
        <w:color w:val="000000"/>
        <w:lang w:val="en"/>
      </w:rPr>
      <w:drawing>
        <wp:anchor distT="0" distB="0" distL="114300" distR="114300" simplePos="0" relativeHeight="251658240" behindDoc="1" locked="0" layoutInCell="1" allowOverlap="1" wp14:anchorId="543EC0F8" wp14:editId="067DB9E5">
          <wp:simplePos x="0" y="0"/>
          <wp:positionH relativeFrom="margin">
            <wp:align>right</wp:align>
          </wp:positionH>
          <wp:positionV relativeFrom="paragraph">
            <wp:posOffset>-38100</wp:posOffset>
          </wp:positionV>
          <wp:extent cx="1447800" cy="275082"/>
          <wp:effectExtent l="0" t="0" r="0" b="0"/>
          <wp:wrapTight wrapText="bothSides">
            <wp:wrapPolygon edited="0">
              <wp:start x="0" y="0"/>
              <wp:lineTo x="0" y="19455"/>
              <wp:lineTo x="21316" y="19455"/>
              <wp:lineTo x="21316" y="0"/>
              <wp:lineTo x="0" y="0"/>
            </wp:wrapPolygon>
          </wp:wrapTight>
          <wp:docPr id="2" name="Picture 2" descr="Excellus two color logo 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xcellus two color logo 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2750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87E2B"/>
    <w:multiLevelType w:val="hybridMultilevel"/>
    <w:tmpl w:val="3266D9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CD52CF"/>
    <w:multiLevelType w:val="hybridMultilevel"/>
    <w:tmpl w:val="4D66BC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DC2"/>
    <w:rsid w:val="00011DA6"/>
    <w:rsid w:val="00106F8F"/>
    <w:rsid w:val="00126D75"/>
    <w:rsid w:val="001447B4"/>
    <w:rsid w:val="00153DC2"/>
    <w:rsid w:val="00195216"/>
    <w:rsid w:val="00327943"/>
    <w:rsid w:val="0047465A"/>
    <w:rsid w:val="00486261"/>
    <w:rsid w:val="004D737E"/>
    <w:rsid w:val="004E021E"/>
    <w:rsid w:val="004F17E5"/>
    <w:rsid w:val="005951FD"/>
    <w:rsid w:val="0059662B"/>
    <w:rsid w:val="005E2699"/>
    <w:rsid w:val="005F4611"/>
    <w:rsid w:val="00651172"/>
    <w:rsid w:val="006560BA"/>
    <w:rsid w:val="00684561"/>
    <w:rsid w:val="006D1873"/>
    <w:rsid w:val="006F0001"/>
    <w:rsid w:val="00754302"/>
    <w:rsid w:val="00787B1B"/>
    <w:rsid w:val="008A33C7"/>
    <w:rsid w:val="00946509"/>
    <w:rsid w:val="00AC6CAA"/>
    <w:rsid w:val="00AF10CA"/>
    <w:rsid w:val="00B263B7"/>
    <w:rsid w:val="00B57663"/>
    <w:rsid w:val="00BD69D7"/>
    <w:rsid w:val="00C044C6"/>
    <w:rsid w:val="00C36788"/>
    <w:rsid w:val="00C751A4"/>
    <w:rsid w:val="00C8729A"/>
    <w:rsid w:val="00DA49EF"/>
    <w:rsid w:val="00DA5F50"/>
    <w:rsid w:val="00E5778B"/>
    <w:rsid w:val="00E71050"/>
    <w:rsid w:val="00F341BE"/>
    <w:rsid w:val="00F5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0692D"/>
  <w15:chartTrackingRefBased/>
  <w15:docId w15:val="{1B331D34-8C7E-46B0-90B6-A453F8715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737E"/>
  </w:style>
  <w:style w:type="paragraph" w:styleId="Heading1">
    <w:name w:val="heading 1"/>
    <w:basedOn w:val="Normal"/>
    <w:next w:val="Normal"/>
    <w:link w:val="Heading1Char"/>
    <w:uiPriority w:val="9"/>
    <w:qFormat/>
    <w:rsid w:val="004D73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AB0EE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73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82D1F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737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82D1F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737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82D1F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737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E7AAC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737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E7AA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737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737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82D1F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737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37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D737E"/>
    <w:rPr>
      <w:rFonts w:asciiTheme="majorHAnsi" w:eastAsiaTheme="majorEastAsia" w:hAnsiTheme="majorHAnsi" w:cstheme="majorBidi"/>
      <w:b/>
      <w:bCs/>
      <w:color w:val="2AB0EE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737E"/>
    <w:rPr>
      <w:rFonts w:asciiTheme="majorHAnsi" w:eastAsiaTheme="majorEastAsia" w:hAnsiTheme="majorHAnsi" w:cstheme="majorBidi"/>
      <w:b/>
      <w:bCs/>
      <w:color w:val="82D1F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737E"/>
    <w:rPr>
      <w:rFonts w:asciiTheme="majorHAnsi" w:eastAsiaTheme="majorEastAsia" w:hAnsiTheme="majorHAnsi" w:cstheme="majorBidi"/>
      <w:b/>
      <w:bCs/>
      <w:color w:val="82D1F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737E"/>
    <w:rPr>
      <w:rFonts w:asciiTheme="majorHAnsi" w:eastAsiaTheme="majorEastAsia" w:hAnsiTheme="majorHAnsi" w:cstheme="majorBidi"/>
      <w:b/>
      <w:bCs/>
      <w:i/>
      <w:iCs/>
      <w:color w:val="82D1F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737E"/>
    <w:rPr>
      <w:rFonts w:asciiTheme="majorHAnsi" w:eastAsiaTheme="majorEastAsia" w:hAnsiTheme="majorHAnsi" w:cstheme="majorBidi"/>
      <w:color w:val="0E7AAC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737E"/>
    <w:rPr>
      <w:rFonts w:asciiTheme="majorHAnsi" w:eastAsiaTheme="majorEastAsia" w:hAnsiTheme="majorHAnsi" w:cstheme="majorBidi"/>
      <w:i/>
      <w:iCs/>
      <w:color w:val="0E7AA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737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737E"/>
    <w:rPr>
      <w:rFonts w:asciiTheme="majorHAnsi" w:eastAsiaTheme="majorEastAsia" w:hAnsiTheme="majorHAnsi" w:cstheme="majorBidi"/>
      <w:color w:val="82D1F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73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D737E"/>
    <w:pPr>
      <w:spacing w:line="240" w:lineRule="auto"/>
    </w:pPr>
    <w:rPr>
      <w:b/>
      <w:bCs/>
      <w:color w:val="82D1F5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D737E"/>
    <w:pPr>
      <w:pBdr>
        <w:bottom w:val="single" w:sz="8" w:space="4" w:color="82D1F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5A8C5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D737E"/>
    <w:rPr>
      <w:rFonts w:asciiTheme="majorHAnsi" w:eastAsiaTheme="majorEastAsia" w:hAnsiTheme="majorHAnsi" w:cstheme="majorBidi"/>
      <w:color w:val="65A8C5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737E"/>
    <w:pPr>
      <w:numPr>
        <w:ilvl w:val="1"/>
      </w:numPr>
    </w:pPr>
    <w:rPr>
      <w:rFonts w:asciiTheme="majorHAnsi" w:eastAsiaTheme="majorEastAsia" w:hAnsiTheme="majorHAnsi" w:cstheme="majorBidi"/>
      <w:i/>
      <w:iCs/>
      <w:color w:val="82D1F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D737E"/>
    <w:rPr>
      <w:rFonts w:asciiTheme="majorHAnsi" w:eastAsiaTheme="majorEastAsia" w:hAnsiTheme="majorHAnsi" w:cstheme="majorBidi"/>
      <w:i/>
      <w:iCs/>
      <w:color w:val="82D1F5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4D737E"/>
    <w:rPr>
      <w:b/>
      <w:bCs/>
    </w:rPr>
  </w:style>
  <w:style w:type="character" w:styleId="Emphasis">
    <w:name w:val="Emphasis"/>
    <w:basedOn w:val="DefaultParagraphFont"/>
    <w:uiPriority w:val="20"/>
    <w:qFormat/>
    <w:rsid w:val="004D737E"/>
    <w:rPr>
      <w:i/>
      <w:iCs/>
    </w:rPr>
  </w:style>
  <w:style w:type="paragraph" w:styleId="NoSpacing">
    <w:name w:val="No Spacing"/>
    <w:uiPriority w:val="1"/>
    <w:qFormat/>
    <w:rsid w:val="004D737E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4D737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D737E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737E"/>
    <w:pPr>
      <w:pBdr>
        <w:bottom w:val="single" w:sz="4" w:space="4" w:color="82D1F5" w:themeColor="accent1"/>
      </w:pBdr>
      <w:spacing w:before="200" w:after="280"/>
      <w:ind w:left="936" w:right="936"/>
    </w:pPr>
    <w:rPr>
      <w:b/>
      <w:bCs/>
      <w:i/>
      <w:iCs/>
      <w:color w:val="82D1F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737E"/>
    <w:rPr>
      <w:b/>
      <w:bCs/>
      <w:i/>
      <w:iCs/>
      <w:color w:val="82D1F5" w:themeColor="accent1"/>
    </w:rPr>
  </w:style>
  <w:style w:type="character" w:styleId="SubtleEmphasis">
    <w:name w:val="Subtle Emphasis"/>
    <w:basedOn w:val="DefaultParagraphFont"/>
    <w:uiPriority w:val="19"/>
    <w:qFormat/>
    <w:rsid w:val="004D737E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4D737E"/>
    <w:rPr>
      <w:b/>
      <w:bCs/>
      <w:i/>
      <w:iCs/>
      <w:color w:val="82D1F5" w:themeColor="accent1"/>
    </w:rPr>
  </w:style>
  <w:style w:type="character" w:styleId="SubtleReference">
    <w:name w:val="Subtle Reference"/>
    <w:basedOn w:val="DefaultParagraphFont"/>
    <w:uiPriority w:val="31"/>
    <w:qFormat/>
    <w:rsid w:val="004D737E"/>
    <w:rPr>
      <w:smallCaps/>
      <w:color w:val="005373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4D737E"/>
    <w:rPr>
      <w:b/>
      <w:bCs/>
      <w:smallCaps/>
      <w:color w:val="005373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4D737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D737E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543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4302"/>
  </w:style>
  <w:style w:type="paragraph" w:styleId="Footer">
    <w:name w:val="footer"/>
    <w:basedOn w:val="Normal"/>
    <w:link w:val="FooterChar"/>
    <w:uiPriority w:val="99"/>
    <w:unhideWhenUsed/>
    <w:rsid w:val="007543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4302"/>
  </w:style>
  <w:style w:type="paragraph" w:styleId="BalloonText">
    <w:name w:val="Balloon Text"/>
    <w:basedOn w:val="Normal"/>
    <w:link w:val="BalloonTextChar"/>
    <w:uiPriority w:val="99"/>
    <w:semiHidden/>
    <w:unhideWhenUsed/>
    <w:rsid w:val="008A3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3C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36788"/>
    <w:rPr>
      <w:color w:val="007DC5" w:themeColor="hyperlink"/>
      <w:u w:val="single"/>
    </w:rPr>
  </w:style>
  <w:style w:type="paragraph" w:customStyle="1" w:styleId="Default">
    <w:name w:val="Default"/>
    <w:rsid w:val="00F341BE"/>
    <w:pPr>
      <w:autoSpaceDE w:val="0"/>
      <w:autoSpaceDN w:val="0"/>
      <w:adjustRightInd w:val="0"/>
      <w:spacing w:after="0" w:line="240" w:lineRule="auto"/>
    </w:pPr>
    <w:rPr>
      <w:rFonts w:ascii="Univers LT Pro 57 Cn" w:hAnsi="Univers LT Pro 57 Cn" w:cs="Univers LT Pro 57 Cn"/>
      <w:color w:val="000000"/>
      <w:sz w:val="24"/>
      <w:szCs w:val="24"/>
    </w:rPr>
  </w:style>
  <w:style w:type="character" w:customStyle="1" w:styleId="A2">
    <w:name w:val="A2"/>
    <w:uiPriority w:val="99"/>
    <w:rsid w:val="00F341BE"/>
    <w:rPr>
      <w:rFonts w:cs="Univers LT Pro 57 Cn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710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10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10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0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0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mber.excellusbcbs.com/documents/53957/253709/Online+Account+Quick+Start+Guide.pdf/e78a21f7-3b87-c5fc-9814-6cedc80e2742?t=153184035665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ZkY5qsh1L4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Excellus BCBS: Single Image Template">
  <a:themeElements>
    <a:clrScheme name="Excellus BlueCross BlueShield Colors">
      <a:dk1>
        <a:srgbClr val="000000"/>
      </a:dk1>
      <a:lt1>
        <a:srgbClr val="FFFFFF"/>
      </a:lt1>
      <a:dk2>
        <a:srgbClr val="AFD2E1"/>
      </a:dk2>
      <a:lt2>
        <a:srgbClr val="007DC5"/>
      </a:lt2>
      <a:accent1>
        <a:srgbClr val="82D1F5"/>
      </a:accent1>
      <a:accent2>
        <a:srgbClr val="005373"/>
      </a:accent2>
      <a:accent3>
        <a:srgbClr val="A49E99"/>
      </a:accent3>
      <a:accent4>
        <a:srgbClr val="E9DFBC"/>
      </a:accent4>
      <a:accent5>
        <a:srgbClr val="E96B00"/>
      </a:accent5>
      <a:accent6>
        <a:srgbClr val="94D600"/>
      </a:accent6>
      <a:hlink>
        <a:srgbClr val="007DC5"/>
      </a:hlink>
      <a:folHlink>
        <a:srgbClr val="938D87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4"/>
        </a:solidFill>
        <a:ln>
          <a:noFill/>
        </a:ln>
        <a:effectLst/>
      </a:spPr>
      <a:bodyPr rtlCol="0" anchor="ctr"/>
      <a:lstStyle>
        <a:defPPr algn="ctr">
          <a:defRPr sz="1800" dirty="0" err="1" smtClean="0">
            <a:solidFill>
              <a:schemeClr val="accent2"/>
            </a:solidFill>
            <a:latin typeface="Tahoma"/>
          </a:defRPr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chemeClr val="accent2">
              <a:lumMod val="60000"/>
              <a:lumOff val="40000"/>
            </a:schemeClr>
          </a:solidFill>
        </a:ln>
        <a:effectLst/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marL="192024" indent="-192024">
          <a:spcBef>
            <a:spcPts val="600"/>
          </a:spcBef>
          <a:buClr>
            <a:srgbClr val="073F5E"/>
          </a:buClr>
          <a:buFont typeface="Arial"/>
          <a:buChar char="•"/>
          <a:defRPr sz="2400" dirty="0" smtClean="0">
            <a:latin typeface="Tahoma"/>
            <a:cs typeface="Tahoma"/>
          </a:defRPr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Christman</dc:creator>
  <cp:keywords/>
  <dc:description/>
  <cp:lastModifiedBy>Michelle Diehl</cp:lastModifiedBy>
  <cp:revision>3</cp:revision>
  <dcterms:created xsi:type="dcterms:W3CDTF">2020-06-16T16:48:00Z</dcterms:created>
  <dcterms:modified xsi:type="dcterms:W3CDTF">2023-01-06T20:28:00Z</dcterms:modified>
</cp:coreProperties>
</file>